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16" w:rsidRPr="008B37BE" w:rsidRDefault="00115916" w:rsidP="00115916">
      <w:pPr>
        <w:pStyle w:val="NormalWeb"/>
        <w:kinsoku w:val="0"/>
        <w:overflowPunct w:val="0"/>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This video provides an overview of the current state of poverty in the United States and the impact this has on our Social Democracy.</w:t>
      </w:r>
    </w:p>
    <w:p w:rsidR="00326695" w:rsidRPr="008B37BE" w:rsidRDefault="00326695">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By many measurements, the people – or, at least a majority of the people -- of the United States of America enjoy a remarkably high standard of well-being. On the other hand, the poverty rate, as well as the number of people in poverty, began to rise again by the late 1970s.</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Traditionally, one of the most commonly accepted measurements of the health of an economy is its Gross Domestic Product, or GDP. Looking at this graph of the GDP of the United States one could conclude that the economy has </w:t>
      </w:r>
      <w:proofErr w:type="gramStart"/>
      <w:r w:rsidRPr="008B37BE">
        <w:rPr>
          <w:rFonts w:ascii="Arial" w:eastAsiaTheme="minorEastAsia" w:hAnsi="Arial" w:cstheme="minorBidi"/>
          <w:b/>
          <w:bCs/>
          <w:color w:val="000000" w:themeColor="text1"/>
          <w:kern w:val="24"/>
          <w:sz w:val="32"/>
          <w:szCs w:val="32"/>
        </w:rPr>
        <w:t>been  continuing</w:t>
      </w:r>
      <w:proofErr w:type="gramEnd"/>
      <w:r w:rsidRPr="008B37BE">
        <w:rPr>
          <w:rFonts w:ascii="Arial" w:eastAsiaTheme="minorEastAsia" w:hAnsi="Arial" w:cstheme="minorBidi"/>
          <w:b/>
          <w:bCs/>
          <w:color w:val="000000" w:themeColor="text1"/>
          <w:kern w:val="24"/>
          <w:sz w:val="32"/>
          <w:szCs w:val="32"/>
        </w:rPr>
        <w:t xml:space="preserve"> its upward expansion since the bottom of the last recessionary downturn. What, we might ask, is this statistic really telling us? A key part of the answer is understanding how GDP is defined and calculated:</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GDP is the monetary value of all the finished goods and services produced within a country's borders in a specific time period. GDP includes all of private and public consumption, government outlays, investments and exports, less imports that occur within a defined territory.</w:t>
      </w:r>
    </w:p>
    <w:p w:rsidR="00115916" w:rsidRPr="008B37BE" w:rsidRDefault="00115916" w:rsidP="00115916">
      <w:pPr>
        <w:pStyle w:val="NormalWeb"/>
        <w:spacing w:before="86" w:beforeAutospacing="0" w:after="0" w:afterAutospacing="0"/>
        <w:textAlignment w:val="baseline"/>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There are a number of reasons to challenge the use of GDP as a measurement of anything meaningful concerning the well-being of a people in any society. First, is that GDP cares not at all whether funds are spent on goods and services people need, on environmentally-damaging activities or on military </w:t>
      </w:r>
      <w:proofErr w:type="gramStart"/>
      <w:r w:rsidRPr="008B37BE">
        <w:rPr>
          <w:rFonts w:ascii="Arial" w:eastAsiaTheme="minorEastAsia" w:hAnsi="Arial" w:cstheme="minorBidi"/>
          <w:b/>
          <w:bCs/>
          <w:color w:val="000000" w:themeColor="text1"/>
          <w:kern w:val="24"/>
          <w:sz w:val="32"/>
          <w:szCs w:val="32"/>
        </w:rPr>
        <w:t>adventurism.</w:t>
      </w:r>
      <w:proofErr w:type="gramEnd"/>
      <w:r w:rsidRPr="008B37BE">
        <w:rPr>
          <w:rFonts w:ascii="Arial" w:eastAsiaTheme="minorEastAsia" w:hAnsi="Arial" w:cstheme="minorBidi"/>
          <w:b/>
          <w:bCs/>
          <w:color w:val="000000" w:themeColor="text1"/>
          <w:kern w:val="24"/>
          <w:sz w:val="32"/>
          <w:szCs w:val="32"/>
        </w:rPr>
        <w:t xml:space="preserve"> </w:t>
      </w:r>
    </w:p>
    <w:p w:rsidR="00115916" w:rsidRDefault="00115916">
      <w:pPr>
        <w:rPr>
          <w:sz w:val="32"/>
          <w:szCs w:val="32"/>
        </w:rPr>
      </w:pPr>
    </w:p>
    <w:p w:rsidR="008B37BE" w:rsidRDefault="008B37BE">
      <w:pPr>
        <w:rPr>
          <w:sz w:val="32"/>
          <w:szCs w:val="32"/>
        </w:rPr>
      </w:pPr>
    </w:p>
    <w:p w:rsidR="008B37BE" w:rsidRDefault="008B37BE">
      <w:pPr>
        <w:rPr>
          <w:sz w:val="32"/>
          <w:szCs w:val="32"/>
        </w:rPr>
      </w:pPr>
    </w:p>
    <w:p w:rsidR="008B37BE" w:rsidRDefault="008B37BE">
      <w:pPr>
        <w:rPr>
          <w:sz w:val="32"/>
          <w:szCs w:val="32"/>
        </w:rPr>
      </w:pPr>
    </w:p>
    <w:p w:rsidR="008B37BE" w:rsidRDefault="008B37BE">
      <w:pPr>
        <w:rPr>
          <w:sz w:val="32"/>
          <w:szCs w:val="32"/>
        </w:rPr>
      </w:pPr>
    </w:p>
    <w:p w:rsidR="008B37BE" w:rsidRPr="008B37BE" w:rsidRDefault="008B37BE">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Second, GDP cares not at all whether funds are raised by taxation, or the sources of revenue at all. When the Federal Reserve creates digital monetary balances out of thin air and then uses these balances to purchase government bonds, the dollar volume is added to GDP without any analysis of its effects on the economic health of the nation. Few nations in history have successfully navigated the waters of skyrocketing debt without implosion of their economies and shredding of the social fabric.</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A far more objective measure of how well people are really doing in the United States was developed in the early 1970s by the organization Redefining Progress. Taking into consideration many different factors besides the total of dollar spending, the Genuine Progress Indicator, or GPI, revealed an end to the general improvement in conditions a few years before Ronald Reagan entered the Office of President in 1981.</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Contrary to what is most often referred to by analysts as the “wealth effect,” the longer run effects of our credit-driven economy – and our credit-driven property markets, in particular -- has been to set the stage for a powerful and intensely destructive “poverty effect.”</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The median net worth of households in the United States reached its nominal peak in 2007 just before the crash of the nation’s financial and property markets. Across-the-board, most of what composed net worth for households was the value of residential property owned (less mortgage debt outstanding). Thus, as property prices fell in 2008, a considerable portion of household net worth for many households fell. The effect on minority households was far worse for the simple reason that the rate of property ownership – and property ownership where the value of land is high – is far lower than for non-minority households. </w:t>
      </w:r>
      <w:r w:rsidRPr="008B37BE">
        <w:rPr>
          <w:rFonts w:ascii="Arial" w:eastAsiaTheme="minorEastAsia" w:hAnsi="Arial" w:cstheme="minorBidi"/>
          <w:b/>
          <w:bCs/>
          <w:color w:val="000000" w:themeColor="text1"/>
          <w:kern w:val="24"/>
          <w:sz w:val="32"/>
          <w:szCs w:val="32"/>
        </w:rPr>
        <w:lastRenderedPageBreak/>
        <w:t>Continuing foreclosures add downward pressure on these statistics even beyond 2013.</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A recent Institute for Policy study reports that the 400 richest individuals in the United States now hold wealth greater than the bottom 64 percent of the population. The three richest persons hold more wealth than the bottom 50 percent, while one in five households have zero or negative net worth.</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Ours is clearly a society experiencing a level of stress that endangers our very democracy. Too many people remain unemployed, underemployed, strangled by debt, unable to afford decent housing, lack medical insurance plans for themselves and their families, or even an adequate amount of food each day.</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Unemployment in the United States is now reported to be just above 4 percent of the work force. However, if you have given up looking for work you are no longer considered part of the work force or unemployed. The Bureau of Labor Statistics reported in April 2017 that 1.6 million people have been out of work for six months or longer. Nearly a millions have been unemployed for over a year.</w:t>
      </w:r>
    </w:p>
    <w:p w:rsidR="00115916" w:rsidRPr="008B37BE" w:rsidRDefault="00115916">
      <w:pPr>
        <w:rPr>
          <w:sz w:val="32"/>
          <w:szCs w:val="32"/>
        </w:rPr>
      </w:pPr>
    </w:p>
    <w:p w:rsidR="00115916" w:rsidRPr="008B37BE" w:rsidRDefault="00115916" w:rsidP="0011591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However, a broader definition of unemployment referred to as “U6” indicates that real unemployment is 8.6 percent.</w:t>
      </w:r>
    </w:p>
    <w:p w:rsidR="00115916" w:rsidRPr="008B37BE" w:rsidRDefault="00115916">
      <w:pPr>
        <w:rPr>
          <w:sz w:val="32"/>
          <w:szCs w:val="32"/>
        </w:rPr>
      </w:pPr>
    </w:p>
    <w:p w:rsidR="00115916" w:rsidRPr="008B37BE"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In 2016, there were 2.3 million people working two part-time jobs to meet financial needs. Another 4.36 million worked one full-time job and one-part-time job. Over the 12 months ending November 2017, the total number of people working multiple jobs fell f</w:t>
      </w:r>
      <w:r w:rsidRPr="008B37BE">
        <w:rPr>
          <w:rFonts w:ascii="Arial" w:eastAsiaTheme="minorEastAsia" w:hAnsi="Arial" w:cstheme="minorBidi"/>
          <w:b/>
          <w:bCs/>
          <w:color w:val="000000" w:themeColor="text1"/>
          <w:kern w:val="24"/>
          <w:sz w:val="32"/>
          <w:szCs w:val="32"/>
        </w:rPr>
        <w:t>rom 7.8 million to 7.3 million.</w:t>
      </w:r>
    </w:p>
    <w:p w:rsidR="00115916"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Default="00952104"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Default="00952104"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Pr="008B37BE" w:rsidRDefault="00952104"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115916" w:rsidRPr="008B37BE"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lastRenderedPageBreak/>
        <w:t>However, the Bureau of Labor Statistics reported in July 2017 that 21 million people are voluntarily working part time. This reflects a 10 percent increase since the Affordable</w:t>
      </w:r>
      <w:r w:rsidRPr="008B37BE">
        <w:rPr>
          <w:rFonts w:ascii="Arial" w:eastAsiaTheme="minorEastAsia" w:hAnsi="Arial" w:cstheme="minorBidi"/>
          <w:b/>
          <w:bCs/>
          <w:color w:val="000000" w:themeColor="text1"/>
          <w:kern w:val="24"/>
          <w:sz w:val="32"/>
          <w:szCs w:val="32"/>
        </w:rPr>
        <w:t xml:space="preserve"> Care Act took effect in 2014, </w:t>
      </w:r>
      <w:r w:rsidRPr="008B37BE">
        <w:rPr>
          <w:rFonts w:ascii="Arial" w:eastAsiaTheme="minorEastAsia" w:hAnsi="Arial" w:cstheme="minorBidi"/>
          <w:b/>
          <w:bCs/>
          <w:color w:val="000000" w:themeColor="text1"/>
          <w:kern w:val="24"/>
          <w:sz w:val="32"/>
          <w:szCs w:val="32"/>
        </w:rPr>
        <w:t>indicating an important link between the decision to work full time and the opportunity to acquire affordable health insurance.</w:t>
      </w:r>
    </w:p>
    <w:p w:rsidR="00115916"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115916" w:rsidRPr="008B37BE" w:rsidRDefault="00115916" w:rsidP="0011591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During November of 2017, the number of people filing applications for unemployment benefits was around 240,000. A total of 1.9 million people are receiving benefits, a 44-year low. The growth in job opportunities is part of the reason, of course. Another reason is that anyone out of work for six months or longer is no longer eligible for benefits.</w:t>
      </w:r>
    </w:p>
    <w:p w:rsidR="00115916" w:rsidRPr="008B37BE" w:rsidRDefault="00115916" w:rsidP="0011591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115916" w:rsidRPr="008B37BE" w:rsidRDefault="00115916" w:rsidP="0011591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The U.S. Department of Agriculture reported in July of 2017 that participation in the food stamp program fell to the lowest level in seven years. Even so, over 42.6 million people are participating.</w:t>
      </w:r>
    </w:p>
    <w:p w:rsidR="00FC0226" w:rsidRPr="008B37BE" w:rsidRDefault="00FC0226" w:rsidP="0011591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And, most of these same individuals are also dependent upon the nation’s charitable food banks to supplement their food supplies.</w:t>
      </w: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On the positive side, one-half of all households in the United States now have incomes greater than $58,400; however, this also means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 xml:space="preserve">One –half of all households have </w:t>
      </w:r>
      <w:proofErr w:type="gramStart"/>
      <w:r w:rsidRPr="008B37BE">
        <w:rPr>
          <w:rFonts w:ascii="Arial" w:eastAsiaTheme="minorEastAsia" w:hAnsi="Arial" w:cstheme="minorBidi"/>
          <w:b/>
          <w:bCs/>
          <w:color w:val="000000" w:themeColor="text1"/>
          <w:kern w:val="24"/>
          <w:sz w:val="32"/>
          <w:szCs w:val="32"/>
        </w:rPr>
        <w:t>incomes  below</w:t>
      </w:r>
      <w:proofErr w:type="gramEnd"/>
      <w:r w:rsidRPr="008B37BE">
        <w:rPr>
          <w:rFonts w:ascii="Arial" w:eastAsiaTheme="minorEastAsia" w:hAnsi="Arial" w:cstheme="minorBidi"/>
          <w:b/>
          <w:bCs/>
          <w:color w:val="000000" w:themeColor="text1"/>
          <w:kern w:val="24"/>
          <w:sz w:val="32"/>
          <w:szCs w:val="32"/>
        </w:rPr>
        <w:t xml:space="preserve"> this level. Importantly, the adequacy of income to meet basic needs depends on where you live in the United States. This chart compares the cost of living of the nation’s main population regions with that of the Washington, D.C. area.</w:t>
      </w:r>
    </w:p>
    <w:p w:rsidR="00FC0226" w:rsidRDefault="00FC0226" w:rsidP="00FC022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Default="00952104" w:rsidP="00FC022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Default="00952104" w:rsidP="00FC022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952104" w:rsidRPr="008B37BE" w:rsidRDefault="00952104" w:rsidP="00FC022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lastRenderedPageBreak/>
        <w:t>A report issued in October by the Furman Center at New York University indicates that the percentage of people who live in rental housing and spend more than 30 percent of their gross income on housing has been falling since 2012. However, the percentage is still very hi</w:t>
      </w:r>
      <w:r w:rsidRPr="008B37BE">
        <w:rPr>
          <w:rFonts w:ascii="Arial" w:eastAsiaTheme="minorEastAsia" w:hAnsi="Arial" w:cstheme="minorBidi"/>
          <w:b/>
          <w:bCs/>
          <w:color w:val="000000" w:themeColor="text1"/>
          <w:kern w:val="24"/>
          <w:sz w:val="32"/>
          <w:szCs w:val="32"/>
        </w:rPr>
        <w:t>gh in many parts of the nation.</w:t>
      </w: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The National Council on Aging estimates that over 25 million people aged 60 and older have an annual income of under $30,000.</w:t>
      </w: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A Social Security Administration report released in 2016 indicated that one in five married persons and 43 percent of single persons receiving social security benefits depend on this one source for 90 percent or more of their household income.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Social Security benefits are simply insufficient for most people to meet even the most basic needs and living expenses.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Enid Borden, President and CEO of the National Foundation to End Senior Hunger, puts the problem into context:</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Rockwell" w:eastAsiaTheme="minorEastAsia" w:hAnsi="Rockwell" w:cstheme="minorBidi"/>
          <w:b/>
          <w:bCs/>
          <w:color w:val="000000" w:themeColor="text1"/>
          <w:kern w:val="24"/>
          <w:sz w:val="32"/>
          <w:szCs w:val="32"/>
        </w:rPr>
        <w:t>“Millions of older Americans face a serious threat, one that does not discriminate among gender, race, or even socioeconomic status. Nearly six million people, or 11.4% of the entire population over the age of 60 faces some degree of food insecurity. Many older people can’t get to a store to buy food. Others can’t afford groceries."</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Part of the reasons why so many households in the United States are in financial trouble is a voluntary reliance on credit to satisfy their consumption desires. However, a large majority have been forced into reliance on high cost credit just to meet basic needs.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58" w:beforeAutospacing="0" w:after="0" w:afterAutospacing="0" w:line="192" w:lineRule="auto"/>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lastRenderedPageBreak/>
        <w:t xml:space="preserve">A CNBC report aired in August 2017 stated that seventy-eight percent of full-time workers said they live paycheck to paycheck. Over half of respondents admitted they were in over their heads and could not keep up with payments on what they owed. </w:t>
      </w:r>
    </w:p>
    <w:p w:rsidR="00FC0226" w:rsidRPr="008B37BE" w:rsidRDefault="00FC0226" w:rsidP="00FC0226">
      <w:pPr>
        <w:pStyle w:val="NormalWeb"/>
        <w:spacing w:before="58" w:beforeAutospacing="0" w:after="0" w:afterAutospacing="0" w:line="192" w:lineRule="auto"/>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And, then, there is the continued problem of people struggling to find alternative living conditions after falling behind in mortgage payments. </w:t>
      </w:r>
    </w:p>
    <w:p w:rsidR="00FC0226" w:rsidRPr="008B37BE" w:rsidRDefault="00FC0226" w:rsidP="00FC0226">
      <w:pPr>
        <w:pStyle w:val="NormalWeb"/>
        <w:spacing w:before="58" w:beforeAutospacing="0" w:after="0" w:afterAutospacing="0" w:line="192" w:lineRule="auto"/>
        <w:textAlignment w:val="baseline"/>
        <w:rPr>
          <w:sz w:val="32"/>
          <w:szCs w:val="32"/>
        </w:rPr>
      </w:pP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r w:rsidRPr="008B37BE">
        <w:rPr>
          <w:rFonts w:ascii="Arial" w:eastAsiaTheme="minorEastAsia" w:hAnsi="Arial" w:cstheme="minorBidi"/>
          <w:b/>
          <w:bCs/>
          <w:color w:val="000000" w:themeColor="text1"/>
          <w:kern w:val="24"/>
          <w:sz w:val="32"/>
          <w:szCs w:val="32"/>
        </w:rPr>
        <w:t>The Economic Policy Institute reports that “Nearly half of families have no retirement account savings at all.” The median savings for U.S. households is just $5,000. A survey of households taken in 2015 indicates that over one-third of all adults in the U.S. have only several hundred dollars in their savings account. Another one-third have zero savings and are perpetually in debt.</w:t>
      </w:r>
    </w:p>
    <w:p w:rsidR="00FC0226" w:rsidRPr="008B37BE" w:rsidRDefault="00FC0226" w:rsidP="00FC0226">
      <w:pPr>
        <w:pStyle w:val="NormalWeb"/>
        <w:spacing w:before="86" w:beforeAutospacing="0" w:after="0" w:afterAutospacing="0"/>
        <w:textAlignment w:val="baseline"/>
        <w:rPr>
          <w:rFonts w:ascii="Arial" w:eastAsiaTheme="minorEastAsia" w:hAnsi="Arial" w:cstheme="minorBidi"/>
          <w:b/>
          <w:bCs/>
          <w:color w:val="000000" w:themeColor="text1"/>
          <w:kern w:val="24"/>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Another concern is the percentage of us who are now considered poor credit risks. Roughly 7 percent of adults have a credit score below 620. As indicated in this chart, credit scores tend to improve with age.</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Those on the left and the right of the political spectrum may debate the significance of this statistic, but the fact is that the bottom 80% of all adults in the United States now collectively own just than 5% of all financial wealth. The 11% net worth figure for this group is based almost entirely on equity in a residential property.</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Even as the nation has climbed out of recession, the percentage of children living in poverty has experienced a steady increase. Note here that 22 percent live in households with an income below the Federal Poverty Threshold.</w:t>
      </w:r>
    </w:p>
    <w:p w:rsidR="00FC0226" w:rsidRDefault="00FC0226" w:rsidP="00FC0226">
      <w:pPr>
        <w:pStyle w:val="NormalWeb"/>
        <w:spacing w:before="86" w:beforeAutospacing="0" w:after="0" w:afterAutospacing="0"/>
        <w:textAlignment w:val="baseline"/>
        <w:rPr>
          <w:sz w:val="32"/>
          <w:szCs w:val="32"/>
        </w:rPr>
      </w:pPr>
    </w:p>
    <w:p w:rsidR="00952104" w:rsidRPr="008B37BE" w:rsidRDefault="00952104" w:rsidP="00FC0226">
      <w:pPr>
        <w:pStyle w:val="NormalWeb"/>
        <w:spacing w:before="86" w:beforeAutospacing="0" w:after="0" w:afterAutospacing="0"/>
        <w:textAlignment w:val="baseline"/>
        <w:rPr>
          <w:sz w:val="32"/>
          <w:szCs w:val="32"/>
        </w:rPr>
      </w:pPr>
      <w:bookmarkStart w:id="0" w:name="_GoBack"/>
      <w:bookmarkEnd w:id="0"/>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lastRenderedPageBreak/>
        <w:t>For the nation as a whole, over half of all poor children live in households headed by women. As noted here, the percentage for Blacks is 78 percent. The reasons include divorce, separation, children born to single mothers and lower incomes and fewer employment options for many women.</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The United States is the world's leader in incarceration with 2.3 million people currently in the nation's prisons or jails -- a 500% increase over the past thirty years. These trends have resulted in prison overcrowding and state governments being overwhelmed by the burden of funding a rapidly expanding penal system.</w:t>
      </w:r>
      <w:r w:rsidRPr="008B37BE">
        <w:rPr>
          <w:rFonts w:ascii="Arial" w:eastAsiaTheme="minorEastAsia" w:hAnsi="Arial" w:cstheme="minorBidi"/>
          <w:color w:val="000000" w:themeColor="text1"/>
          <w:kern w:val="24"/>
          <w:sz w:val="32"/>
          <w:szCs w:val="32"/>
        </w:rPr>
        <w:t xml:space="preserve">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Once individuals have served their time in prison and are released, they have a very difficult time finding employment. Many did not complete high school, and an estimated 70 percent have minimal literacy ability.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 xml:space="preserve">This analysis released by the Prison Policy Initiative in 2014 shows the strong relationship between the low incomes of men and the probability of conviction for some the crime. </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A staggering 48 percent of all Americans are either considered to be "low income" or are living in poverty.</w:t>
      </w:r>
    </w:p>
    <w:p w:rsidR="00FC0226" w:rsidRPr="008B37BE" w:rsidRDefault="00FC0226" w:rsidP="00FC0226">
      <w:pPr>
        <w:pStyle w:val="NormalWeb"/>
        <w:spacing w:before="58" w:beforeAutospacing="0" w:after="0" w:afterAutospacing="0" w:line="192" w:lineRule="auto"/>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r w:rsidRPr="008B37BE">
        <w:rPr>
          <w:rFonts w:ascii="Arial" w:eastAsiaTheme="minorEastAsia" w:hAnsi="Arial" w:cstheme="minorBidi"/>
          <w:b/>
          <w:bCs/>
          <w:color w:val="000000" w:themeColor="text1"/>
          <w:kern w:val="24"/>
          <w:sz w:val="32"/>
          <w:szCs w:val="32"/>
        </w:rPr>
        <w:t>A question thoughtful Americans are asking is: “How much additional stress can the American System absorb before the social fabric unravels.” I suspect we will find out sooner rather than later.</w:t>
      </w: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FC0226">
      <w:pPr>
        <w:pStyle w:val="NormalWeb"/>
        <w:spacing w:before="0" w:beforeAutospacing="0" w:after="0" w:afterAutospacing="0"/>
        <w:textAlignment w:val="baseline"/>
        <w:rPr>
          <w:sz w:val="32"/>
          <w:szCs w:val="32"/>
        </w:rPr>
      </w:pPr>
    </w:p>
    <w:p w:rsidR="00FC0226" w:rsidRPr="008B37BE" w:rsidRDefault="00FC0226" w:rsidP="00FC0226">
      <w:pPr>
        <w:pStyle w:val="NormalWeb"/>
        <w:spacing w:before="86" w:beforeAutospacing="0" w:after="0" w:afterAutospacing="0"/>
        <w:textAlignment w:val="baseline"/>
        <w:rPr>
          <w:sz w:val="32"/>
          <w:szCs w:val="32"/>
        </w:rPr>
      </w:pPr>
    </w:p>
    <w:p w:rsidR="00FC0226" w:rsidRPr="008B37BE" w:rsidRDefault="00FC0226" w:rsidP="00115916">
      <w:pPr>
        <w:pStyle w:val="NormalWeb"/>
        <w:spacing w:before="86" w:beforeAutospacing="0" w:after="0" w:afterAutospacing="0"/>
        <w:textAlignment w:val="baseline"/>
        <w:rPr>
          <w:sz w:val="32"/>
          <w:szCs w:val="32"/>
        </w:rPr>
      </w:pPr>
    </w:p>
    <w:p w:rsidR="00115916" w:rsidRPr="008B37BE" w:rsidRDefault="00115916" w:rsidP="00115916">
      <w:pPr>
        <w:pStyle w:val="NormalWeb"/>
        <w:spacing w:before="86" w:beforeAutospacing="0" w:after="0" w:afterAutospacing="0"/>
        <w:textAlignment w:val="baseline"/>
        <w:rPr>
          <w:sz w:val="32"/>
          <w:szCs w:val="32"/>
        </w:rPr>
      </w:pPr>
    </w:p>
    <w:p w:rsidR="00115916" w:rsidRPr="008B37BE"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115916" w:rsidRPr="008B37BE" w:rsidRDefault="00115916" w:rsidP="00115916">
      <w:pPr>
        <w:pStyle w:val="NormalWeb"/>
        <w:spacing w:before="0" w:beforeAutospacing="0" w:after="0" w:afterAutospacing="0"/>
        <w:textAlignment w:val="baseline"/>
        <w:rPr>
          <w:rFonts w:ascii="Arial" w:eastAsiaTheme="minorEastAsia" w:hAnsi="Arial" w:cstheme="minorBidi"/>
          <w:b/>
          <w:bCs/>
          <w:color w:val="000000" w:themeColor="text1"/>
          <w:kern w:val="24"/>
          <w:sz w:val="32"/>
          <w:szCs w:val="32"/>
        </w:rPr>
      </w:pPr>
    </w:p>
    <w:p w:rsidR="00115916" w:rsidRPr="008B37BE" w:rsidRDefault="00115916" w:rsidP="00115916">
      <w:pPr>
        <w:pStyle w:val="NormalWeb"/>
        <w:spacing w:before="0" w:beforeAutospacing="0" w:after="0" w:afterAutospacing="0"/>
        <w:textAlignment w:val="baseline"/>
        <w:rPr>
          <w:sz w:val="32"/>
          <w:szCs w:val="32"/>
        </w:rPr>
      </w:pPr>
    </w:p>
    <w:p w:rsidR="00115916" w:rsidRPr="008B37BE" w:rsidRDefault="00115916">
      <w:pPr>
        <w:rPr>
          <w:sz w:val="32"/>
          <w:szCs w:val="32"/>
        </w:rPr>
      </w:pPr>
    </w:p>
    <w:p w:rsidR="00115916" w:rsidRPr="008B37BE" w:rsidRDefault="00115916">
      <w:pPr>
        <w:rPr>
          <w:sz w:val="32"/>
          <w:szCs w:val="32"/>
        </w:rPr>
      </w:pPr>
    </w:p>
    <w:sectPr w:rsidR="00115916" w:rsidRPr="008B37BE" w:rsidSect="00666625">
      <w:footerReference w:type="default" r:id="rId6"/>
      <w:pgSz w:w="12240" w:h="15840"/>
      <w:pgMar w:top="504" w:right="1440" w:bottom="50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B7" w:rsidRDefault="00DE74B7" w:rsidP="00952104">
      <w:r>
        <w:separator/>
      </w:r>
    </w:p>
  </w:endnote>
  <w:endnote w:type="continuationSeparator" w:id="0">
    <w:p w:rsidR="00DE74B7" w:rsidRDefault="00DE74B7" w:rsidP="0095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023391"/>
      <w:docPartObj>
        <w:docPartGallery w:val="Page Numbers (Bottom of Page)"/>
        <w:docPartUnique/>
      </w:docPartObj>
    </w:sdtPr>
    <w:sdtEndPr>
      <w:rPr>
        <w:noProof/>
      </w:rPr>
    </w:sdtEndPr>
    <w:sdtContent>
      <w:p w:rsidR="00952104" w:rsidRDefault="00952104">
        <w:pPr>
          <w:pStyle w:val="Footer"/>
        </w:pPr>
        <w:r>
          <w:fldChar w:fldCharType="begin"/>
        </w:r>
        <w:r>
          <w:instrText xml:space="preserve"> PAGE   \* MERGEFORMAT </w:instrText>
        </w:r>
        <w:r>
          <w:fldChar w:fldCharType="separate"/>
        </w:r>
        <w:r>
          <w:rPr>
            <w:noProof/>
          </w:rPr>
          <w:t>8</w:t>
        </w:r>
        <w:r>
          <w:rPr>
            <w:noProof/>
          </w:rPr>
          <w:fldChar w:fldCharType="end"/>
        </w:r>
      </w:p>
    </w:sdtContent>
  </w:sdt>
  <w:p w:rsidR="00952104" w:rsidRDefault="00952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B7" w:rsidRDefault="00DE74B7" w:rsidP="00952104">
      <w:r>
        <w:separator/>
      </w:r>
    </w:p>
  </w:footnote>
  <w:footnote w:type="continuationSeparator" w:id="0">
    <w:p w:rsidR="00DE74B7" w:rsidRDefault="00DE74B7" w:rsidP="00952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16"/>
    <w:rsid w:val="00115916"/>
    <w:rsid w:val="00326695"/>
    <w:rsid w:val="00666625"/>
    <w:rsid w:val="008B37BE"/>
    <w:rsid w:val="00952104"/>
    <w:rsid w:val="00DE74B7"/>
    <w:rsid w:val="00FC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12D2C-251B-40E4-B42D-EED878FF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916"/>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2104"/>
    <w:pPr>
      <w:tabs>
        <w:tab w:val="center" w:pos="4680"/>
        <w:tab w:val="right" w:pos="9360"/>
      </w:tabs>
    </w:pPr>
  </w:style>
  <w:style w:type="character" w:customStyle="1" w:styleId="HeaderChar">
    <w:name w:val="Header Char"/>
    <w:basedOn w:val="DefaultParagraphFont"/>
    <w:link w:val="Header"/>
    <w:uiPriority w:val="99"/>
    <w:rsid w:val="00952104"/>
  </w:style>
  <w:style w:type="paragraph" w:styleId="Footer">
    <w:name w:val="footer"/>
    <w:basedOn w:val="Normal"/>
    <w:link w:val="FooterChar"/>
    <w:uiPriority w:val="99"/>
    <w:unhideWhenUsed/>
    <w:rsid w:val="00952104"/>
    <w:pPr>
      <w:tabs>
        <w:tab w:val="center" w:pos="4680"/>
        <w:tab w:val="right" w:pos="9360"/>
      </w:tabs>
    </w:pPr>
  </w:style>
  <w:style w:type="character" w:customStyle="1" w:styleId="FooterChar">
    <w:name w:val="Footer Char"/>
    <w:basedOn w:val="DefaultParagraphFont"/>
    <w:link w:val="Footer"/>
    <w:uiPriority w:val="99"/>
    <w:rsid w:val="0095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40">
      <w:bodyDiv w:val="1"/>
      <w:marLeft w:val="0"/>
      <w:marRight w:val="0"/>
      <w:marTop w:val="0"/>
      <w:marBottom w:val="0"/>
      <w:divBdr>
        <w:top w:val="none" w:sz="0" w:space="0" w:color="auto"/>
        <w:left w:val="none" w:sz="0" w:space="0" w:color="auto"/>
        <w:bottom w:val="none" w:sz="0" w:space="0" w:color="auto"/>
        <w:right w:val="none" w:sz="0" w:space="0" w:color="auto"/>
      </w:divBdr>
    </w:div>
    <w:div w:id="25445847">
      <w:bodyDiv w:val="1"/>
      <w:marLeft w:val="0"/>
      <w:marRight w:val="0"/>
      <w:marTop w:val="0"/>
      <w:marBottom w:val="0"/>
      <w:divBdr>
        <w:top w:val="none" w:sz="0" w:space="0" w:color="auto"/>
        <w:left w:val="none" w:sz="0" w:space="0" w:color="auto"/>
        <w:bottom w:val="none" w:sz="0" w:space="0" w:color="auto"/>
        <w:right w:val="none" w:sz="0" w:space="0" w:color="auto"/>
      </w:divBdr>
    </w:div>
    <w:div w:id="27266443">
      <w:bodyDiv w:val="1"/>
      <w:marLeft w:val="0"/>
      <w:marRight w:val="0"/>
      <w:marTop w:val="0"/>
      <w:marBottom w:val="0"/>
      <w:divBdr>
        <w:top w:val="none" w:sz="0" w:space="0" w:color="auto"/>
        <w:left w:val="none" w:sz="0" w:space="0" w:color="auto"/>
        <w:bottom w:val="none" w:sz="0" w:space="0" w:color="auto"/>
        <w:right w:val="none" w:sz="0" w:space="0" w:color="auto"/>
      </w:divBdr>
    </w:div>
    <w:div w:id="96028549">
      <w:bodyDiv w:val="1"/>
      <w:marLeft w:val="0"/>
      <w:marRight w:val="0"/>
      <w:marTop w:val="0"/>
      <w:marBottom w:val="0"/>
      <w:divBdr>
        <w:top w:val="none" w:sz="0" w:space="0" w:color="auto"/>
        <w:left w:val="none" w:sz="0" w:space="0" w:color="auto"/>
        <w:bottom w:val="none" w:sz="0" w:space="0" w:color="auto"/>
        <w:right w:val="none" w:sz="0" w:space="0" w:color="auto"/>
      </w:divBdr>
    </w:div>
    <w:div w:id="125856513">
      <w:bodyDiv w:val="1"/>
      <w:marLeft w:val="0"/>
      <w:marRight w:val="0"/>
      <w:marTop w:val="0"/>
      <w:marBottom w:val="0"/>
      <w:divBdr>
        <w:top w:val="none" w:sz="0" w:space="0" w:color="auto"/>
        <w:left w:val="none" w:sz="0" w:space="0" w:color="auto"/>
        <w:bottom w:val="none" w:sz="0" w:space="0" w:color="auto"/>
        <w:right w:val="none" w:sz="0" w:space="0" w:color="auto"/>
      </w:divBdr>
    </w:div>
    <w:div w:id="134181740">
      <w:bodyDiv w:val="1"/>
      <w:marLeft w:val="0"/>
      <w:marRight w:val="0"/>
      <w:marTop w:val="0"/>
      <w:marBottom w:val="0"/>
      <w:divBdr>
        <w:top w:val="none" w:sz="0" w:space="0" w:color="auto"/>
        <w:left w:val="none" w:sz="0" w:space="0" w:color="auto"/>
        <w:bottom w:val="none" w:sz="0" w:space="0" w:color="auto"/>
        <w:right w:val="none" w:sz="0" w:space="0" w:color="auto"/>
      </w:divBdr>
    </w:div>
    <w:div w:id="160051118">
      <w:bodyDiv w:val="1"/>
      <w:marLeft w:val="0"/>
      <w:marRight w:val="0"/>
      <w:marTop w:val="0"/>
      <w:marBottom w:val="0"/>
      <w:divBdr>
        <w:top w:val="none" w:sz="0" w:space="0" w:color="auto"/>
        <w:left w:val="none" w:sz="0" w:space="0" w:color="auto"/>
        <w:bottom w:val="none" w:sz="0" w:space="0" w:color="auto"/>
        <w:right w:val="none" w:sz="0" w:space="0" w:color="auto"/>
      </w:divBdr>
    </w:div>
    <w:div w:id="186144349">
      <w:bodyDiv w:val="1"/>
      <w:marLeft w:val="0"/>
      <w:marRight w:val="0"/>
      <w:marTop w:val="0"/>
      <w:marBottom w:val="0"/>
      <w:divBdr>
        <w:top w:val="none" w:sz="0" w:space="0" w:color="auto"/>
        <w:left w:val="none" w:sz="0" w:space="0" w:color="auto"/>
        <w:bottom w:val="none" w:sz="0" w:space="0" w:color="auto"/>
        <w:right w:val="none" w:sz="0" w:space="0" w:color="auto"/>
      </w:divBdr>
    </w:div>
    <w:div w:id="231505118">
      <w:bodyDiv w:val="1"/>
      <w:marLeft w:val="0"/>
      <w:marRight w:val="0"/>
      <w:marTop w:val="0"/>
      <w:marBottom w:val="0"/>
      <w:divBdr>
        <w:top w:val="none" w:sz="0" w:space="0" w:color="auto"/>
        <w:left w:val="none" w:sz="0" w:space="0" w:color="auto"/>
        <w:bottom w:val="none" w:sz="0" w:space="0" w:color="auto"/>
        <w:right w:val="none" w:sz="0" w:space="0" w:color="auto"/>
      </w:divBdr>
    </w:div>
    <w:div w:id="250164693">
      <w:bodyDiv w:val="1"/>
      <w:marLeft w:val="0"/>
      <w:marRight w:val="0"/>
      <w:marTop w:val="0"/>
      <w:marBottom w:val="0"/>
      <w:divBdr>
        <w:top w:val="none" w:sz="0" w:space="0" w:color="auto"/>
        <w:left w:val="none" w:sz="0" w:space="0" w:color="auto"/>
        <w:bottom w:val="none" w:sz="0" w:space="0" w:color="auto"/>
        <w:right w:val="none" w:sz="0" w:space="0" w:color="auto"/>
      </w:divBdr>
    </w:div>
    <w:div w:id="307786653">
      <w:bodyDiv w:val="1"/>
      <w:marLeft w:val="0"/>
      <w:marRight w:val="0"/>
      <w:marTop w:val="0"/>
      <w:marBottom w:val="0"/>
      <w:divBdr>
        <w:top w:val="none" w:sz="0" w:space="0" w:color="auto"/>
        <w:left w:val="none" w:sz="0" w:space="0" w:color="auto"/>
        <w:bottom w:val="none" w:sz="0" w:space="0" w:color="auto"/>
        <w:right w:val="none" w:sz="0" w:space="0" w:color="auto"/>
      </w:divBdr>
    </w:div>
    <w:div w:id="428740828">
      <w:bodyDiv w:val="1"/>
      <w:marLeft w:val="0"/>
      <w:marRight w:val="0"/>
      <w:marTop w:val="0"/>
      <w:marBottom w:val="0"/>
      <w:divBdr>
        <w:top w:val="none" w:sz="0" w:space="0" w:color="auto"/>
        <w:left w:val="none" w:sz="0" w:space="0" w:color="auto"/>
        <w:bottom w:val="none" w:sz="0" w:space="0" w:color="auto"/>
        <w:right w:val="none" w:sz="0" w:space="0" w:color="auto"/>
      </w:divBdr>
    </w:div>
    <w:div w:id="546799423">
      <w:bodyDiv w:val="1"/>
      <w:marLeft w:val="0"/>
      <w:marRight w:val="0"/>
      <w:marTop w:val="0"/>
      <w:marBottom w:val="0"/>
      <w:divBdr>
        <w:top w:val="none" w:sz="0" w:space="0" w:color="auto"/>
        <w:left w:val="none" w:sz="0" w:space="0" w:color="auto"/>
        <w:bottom w:val="none" w:sz="0" w:space="0" w:color="auto"/>
        <w:right w:val="none" w:sz="0" w:space="0" w:color="auto"/>
      </w:divBdr>
    </w:div>
    <w:div w:id="677511790">
      <w:bodyDiv w:val="1"/>
      <w:marLeft w:val="0"/>
      <w:marRight w:val="0"/>
      <w:marTop w:val="0"/>
      <w:marBottom w:val="0"/>
      <w:divBdr>
        <w:top w:val="none" w:sz="0" w:space="0" w:color="auto"/>
        <w:left w:val="none" w:sz="0" w:space="0" w:color="auto"/>
        <w:bottom w:val="none" w:sz="0" w:space="0" w:color="auto"/>
        <w:right w:val="none" w:sz="0" w:space="0" w:color="auto"/>
      </w:divBdr>
    </w:div>
    <w:div w:id="701975687">
      <w:bodyDiv w:val="1"/>
      <w:marLeft w:val="0"/>
      <w:marRight w:val="0"/>
      <w:marTop w:val="0"/>
      <w:marBottom w:val="0"/>
      <w:divBdr>
        <w:top w:val="none" w:sz="0" w:space="0" w:color="auto"/>
        <w:left w:val="none" w:sz="0" w:space="0" w:color="auto"/>
        <w:bottom w:val="none" w:sz="0" w:space="0" w:color="auto"/>
        <w:right w:val="none" w:sz="0" w:space="0" w:color="auto"/>
      </w:divBdr>
    </w:div>
    <w:div w:id="725296853">
      <w:bodyDiv w:val="1"/>
      <w:marLeft w:val="0"/>
      <w:marRight w:val="0"/>
      <w:marTop w:val="0"/>
      <w:marBottom w:val="0"/>
      <w:divBdr>
        <w:top w:val="none" w:sz="0" w:space="0" w:color="auto"/>
        <w:left w:val="none" w:sz="0" w:space="0" w:color="auto"/>
        <w:bottom w:val="none" w:sz="0" w:space="0" w:color="auto"/>
        <w:right w:val="none" w:sz="0" w:space="0" w:color="auto"/>
      </w:divBdr>
    </w:div>
    <w:div w:id="924193679">
      <w:bodyDiv w:val="1"/>
      <w:marLeft w:val="0"/>
      <w:marRight w:val="0"/>
      <w:marTop w:val="0"/>
      <w:marBottom w:val="0"/>
      <w:divBdr>
        <w:top w:val="none" w:sz="0" w:space="0" w:color="auto"/>
        <w:left w:val="none" w:sz="0" w:space="0" w:color="auto"/>
        <w:bottom w:val="none" w:sz="0" w:space="0" w:color="auto"/>
        <w:right w:val="none" w:sz="0" w:space="0" w:color="auto"/>
      </w:divBdr>
    </w:div>
    <w:div w:id="925578404">
      <w:bodyDiv w:val="1"/>
      <w:marLeft w:val="0"/>
      <w:marRight w:val="0"/>
      <w:marTop w:val="0"/>
      <w:marBottom w:val="0"/>
      <w:divBdr>
        <w:top w:val="none" w:sz="0" w:space="0" w:color="auto"/>
        <w:left w:val="none" w:sz="0" w:space="0" w:color="auto"/>
        <w:bottom w:val="none" w:sz="0" w:space="0" w:color="auto"/>
        <w:right w:val="none" w:sz="0" w:space="0" w:color="auto"/>
      </w:divBdr>
    </w:div>
    <w:div w:id="1018888773">
      <w:bodyDiv w:val="1"/>
      <w:marLeft w:val="0"/>
      <w:marRight w:val="0"/>
      <w:marTop w:val="0"/>
      <w:marBottom w:val="0"/>
      <w:divBdr>
        <w:top w:val="none" w:sz="0" w:space="0" w:color="auto"/>
        <w:left w:val="none" w:sz="0" w:space="0" w:color="auto"/>
        <w:bottom w:val="none" w:sz="0" w:space="0" w:color="auto"/>
        <w:right w:val="none" w:sz="0" w:space="0" w:color="auto"/>
      </w:divBdr>
    </w:div>
    <w:div w:id="1162239710">
      <w:bodyDiv w:val="1"/>
      <w:marLeft w:val="0"/>
      <w:marRight w:val="0"/>
      <w:marTop w:val="0"/>
      <w:marBottom w:val="0"/>
      <w:divBdr>
        <w:top w:val="none" w:sz="0" w:space="0" w:color="auto"/>
        <w:left w:val="none" w:sz="0" w:space="0" w:color="auto"/>
        <w:bottom w:val="none" w:sz="0" w:space="0" w:color="auto"/>
        <w:right w:val="none" w:sz="0" w:space="0" w:color="auto"/>
      </w:divBdr>
    </w:div>
    <w:div w:id="1184248714">
      <w:bodyDiv w:val="1"/>
      <w:marLeft w:val="0"/>
      <w:marRight w:val="0"/>
      <w:marTop w:val="0"/>
      <w:marBottom w:val="0"/>
      <w:divBdr>
        <w:top w:val="none" w:sz="0" w:space="0" w:color="auto"/>
        <w:left w:val="none" w:sz="0" w:space="0" w:color="auto"/>
        <w:bottom w:val="none" w:sz="0" w:space="0" w:color="auto"/>
        <w:right w:val="none" w:sz="0" w:space="0" w:color="auto"/>
      </w:divBdr>
    </w:div>
    <w:div w:id="1195389865">
      <w:bodyDiv w:val="1"/>
      <w:marLeft w:val="0"/>
      <w:marRight w:val="0"/>
      <w:marTop w:val="0"/>
      <w:marBottom w:val="0"/>
      <w:divBdr>
        <w:top w:val="none" w:sz="0" w:space="0" w:color="auto"/>
        <w:left w:val="none" w:sz="0" w:space="0" w:color="auto"/>
        <w:bottom w:val="none" w:sz="0" w:space="0" w:color="auto"/>
        <w:right w:val="none" w:sz="0" w:space="0" w:color="auto"/>
      </w:divBdr>
    </w:div>
    <w:div w:id="1201279867">
      <w:bodyDiv w:val="1"/>
      <w:marLeft w:val="0"/>
      <w:marRight w:val="0"/>
      <w:marTop w:val="0"/>
      <w:marBottom w:val="0"/>
      <w:divBdr>
        <w:top w:val="none" w:sz="0" w:space="0" w:color="auto"/>
        <w:left w:val="none" w:sz="0" w:space="0" w:color="auto"/>
        <w:bottom w:val="none" w:sz="0" w:space="0" w:color="auto"/>
        <w:right w:val="none" w:sz="0" w:space="0" w:color="auto"/>
      </w:divBdr>
    </w:div>
    <w:div w:id="1368751859">
      <w:bodyDiv w:val="1"/>
      <w:marLeft w:val="0"/>
      <w:marRight w:val="0"/>
      <w:marTop w:val="0"/>
      <w:marBottom w:val="0"/>
      <w:divBdr>
        <w:top w:val="none" w:sz="0" w:space="0" w:color="auto"/>
        <w:left w:val="none" w:sz="0" w:space="0" w:color="auto"/>
        <w:bottom w:val="none" w:sz="0" w:space="0" w:color="auto"/>
        <w:right w:val="none" w:sz="0" w:space="0" w:color="auto"/>
      </w:divBdr>
    </w:div>
    <w:div w:id="1407145846">
      <w:bodyDiv w:val="1"/>
      <w:marLeft w:val="0"/>
      <w:marRight w:val="0"/>
      <w:marTop w:val="0"/>
      <w:marBottom w:val="0"/>
      <w:divBdr>
        <w:top w:val="none" w:sz="0" w:space="0" w:color="auto"/>
        <w:left w:val="none" w:sz="0" w:space="0" w:color="auto"/>
        <w:bottom w:val="none" w:sz="0" w:space="0" w:color="auto"/>
        <w:right w:val="none" w:sz="0" w:space="0" w:color="auto"/>
      </w:divBdr>
    </w:div>
    <w:div w:id="1478454521">
      <w:bodyDiv w:val="1"/>
      <w:marLeft w:val="0"/>
      <w:marRight w:val="0"/>
      <w:marTop w:val="0"/>
      <w:marBottom w:val="0"/>
      <w:divBdr>
        <w:top w:val="none" w:sz="0" w:space="0" w:color="auto"/>
        <w:left w:val="none" w:sz="0" w:space="0" w:color="auto"/>
        <w:bottom w:val="none" w:sz="0" w:space="0" w:color="auto"/>
        <w:right w:val="none" w:sz="0" w:space="0" w:color="auto"/>
      </w:divBdr>
    </w:div>
    <w:div w:id="1555703828">
      <w:bodyDiv w:val="1"/>
      <w:marLeft w:val="0"/>
      <w:marRight w:val="0"/>
      <w:marTop w:val="0"/>
      <w:marBottom w:val="0"/>
      <w:divBdr>
        <w:top w:val="none" w:sz="0" w:space="0" w:color="auto"/>
        <w:left w:val="none" w:sz="0" w:space="0" w:color="auto"/>
        <w:bottom w:val="none" w:sz="0" w:space="0" w:color="auto"/>
        <w:right w:val="none" w:sz="0" w:space="0" w:color="auto"/>
      </w:divBdr>
    </w:div>
    <w:div w:id="1587883033">
      <w:bodyDiv w:val="1"/>
      <w:marLeft w:val="0"/>
      <w:marRight w:val="0"/>
      <w:marTop w:val="0"/>
      <w:marBottom w:val="0"/>
      <w:divBdr>
        <w:top w:val="none" w:sz="0" w:space="0" w:color="auto"/>
        <w:left w:val="none" w:sz="0" w:space="0" w:color="auto"/>
        <w:bottom w:val="none" w:sz="0" w:space="0" w:color="auto"/>
        <w:right w:val="none" w:sz="0" w:space="0" w:color="auto"/>
      </w:divBdr>
    </w:div>
    <w:div w:id="1614632793">
      <w:bodyDiv w:val="1"/>
      <w:marLeft w:val="0"/>
      <w:marRight w:val="0"/>
      <w:marTop w:val="0"/>
      <w:marBottom w:val="0"/>
      <w:divBdr>
        <w:top w:val="none" w:sz="0" w:space="0" w:color="auto"/>
        <w:left w:val="none" w:sz="0" w:space="0" w:color="auto"/>
        <w:bottom w:val="none" w:sz="0" w:space="0" w:color="auto"/>
        <w:right w:val="none" w:sz="0" w:space="0" w:color="auto"/>
      </w:divBdr>
    </w:div>
    <w:div w:id="1615164898">
      <w:bodyDiv w:val="1"/>
      <w:marLeft w:val="0"/>
      <w:marRight w:val="0"/>
      <w:marTop w:val="0"/>
      <w:marBottom w:val="0"/>
      <w:divBdr>
        <w:top w:val="none" w:sz="0" w:space="0" w:color="auto"/>
        <w:left w:val="none" w:sz="0" w:space="0" w:color="auto"/>
        <w:bottom w:val="none" w:sz="0" w:space="0" w:color="auto"/>
        <w:right w:val="none" w:sz="0" w:space="0" w:color="auto"/>
      </w:divBdr>
    </w:div>
    <w:div w:id="1670518729">
      <w:bodyDiv w:val="1"/>
      <w:marLeft w:val="0"/>
      <w:marRight w:val="0"/>
      <w:marTop w:val="0"/>
      <w:marBottom w:val="0"/>
      <w:divBdr>
        <w:top w:val="none" w:sz="0" w:space="0" w:color="auto"/>
        <w:left w:val="none" w:sz="0" w:space="0" w:color="auto"/>
        <w:bottom w:val="none" w:sz="0" w:space="0" w:color="auto"/>
        <w:right w:val="none" w:sz="0" w:space="0" w:color="auto"/>
      </w:divBdr>
    </w:div>
    <w:div w:id="1740396260">
      <w:bodyDiv w:val="1"/>
      <w:marLeft w:val="0"/>
      <w:marRight w:val="0"/>
      <w:marTop w:val="0"/>
      <w:marBottom w:val="0"/>
      <w:divBdr>
        <w:top w:val="none" w:sz="0" w:space="0" w:color="auto"/>
        <w:left w:val="none" w:sz="0" w:space="0" w:color="auto"/>
        <w:bottom w:val="none" w:sz="0" w:space="0" w:color="auto"/>
        <w:right w:val="none" w:sz="0" w:space="0" w:color="auto"/>
      </w:divBdr>
    </w:div>
    <w:div w:id="1975020054">
      <w:bodyDiv w:val="1"/>
      <w:marLeft w:val="0"/>
      <w:marRight w:val="0"/>
      <w:marTop w:val="0"/>
      <w:marBottom w:val="0"/>
      <w:divBdr>
        <w:top w:val="none" w:sz="0" w:space="0" w:color="auto"/>
        <w:left w:val="none" w:sz="0" w:space="0" w:color="auto"/>
        <w:bottom w:val="none" w:sz="0" w:space="0" w:color="auto"/>
        <w:right w:val="none" w:sz="0" w:space="0" w:color="auto"/>
      </w:divBdr>
    </w:div>
    <w:div w:id="2010525871">
      <w:bodyDiv w:val="1"/>
      <w:marLeft w:val="0"/>
      <w:marRight w:val="0"/>
      <w:marTop w:val="0"/>
      <w:marBottom w:val="0"/>
      <w:divBdr>
        <w:top w:val="none" w:sz="0" w:space="0" w:color="auto"/>
        <w:left w:val="none" w:sz="0" w:space="0" w:color="auto"/>
        <w:bottom w:val="none" w:sz="0" w:space="0" w:color="auto"/>
        <w:right w:val="none" w:sz="0" w:space="0" w:color="auto"/>
      </w:divBdr>
    </w:div>
    <w:div w:id="2040661224">
      <w:bodyDiv w:val="1"/>
      <w:marLeft w:val="0"/>
      <w:marRight w:val="0"/>
      <w:marTop w:val="0"/>
      <w:marBottom w:val="0"/>
      <w:divBdr>
        <w:top w:val="none" w:sz="0" w:space="0" w:color="auto"/>
        <w:left w:val="none" w:sz="0" w:space="0" w:color="auto"/>
        <w:bottom w:val="none" w:sz="0" w:space="0" w:color="auto"/>
        <w:right w:val="none" w:sz="0" w:space="0" w:color="auto"/>
      </w:divBdr>
    </w:div>
    <w:div w:id="2053993865">
      <w:bodyDiv w:val="1"/>
      <w:marLeft w:val="0"/>
      <w:marRight w:val="0"/>
      <w:marTop w:val="0"/>
      <w:marBottom w:val="0"/>
      <w:divBdr>
        <w:top w:val="none" w:sz="0" w:space="0" w:color="auto"/>
        <w:left w:val="none" w:sz="0" w:space="0" w:color="auto"/>
        <w:bottom w:val="none" w:sz="0" w:space="0" w:color="auto"/>
        <w:right w:val="none" w:sz="0" w:space="0" w:color="auto"/>
      </w:divBdr>
    </w:div>
    <w:div w:id="2116365827">
      <w:bodyDiv w:val="1"/>
      <w:marLeft w:val="0"/>
      <w:marRight w:val="0"/>
      <w:marTop w:val="0"/>
      <w:marBottom w:val="0"/>
      <w:divBdr>
        <w:top w:val="none" w:sz="0" w:space="0" w:color="auto"/>
        <w:left w:val="none" w:sz="0" w:space="0" w:color="auto"/>
        <w:bottom w:val="none" w:sz="0" w:space="0" w:color="auto"/>
        <w:right w:val="none" w:sz="0" w:space="0" w:color="auto"/>
      </w:divBdr>
    </w:div>
    <w:div w:id="21226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2017-12-16T23:34:00Z</dcterms:created>
  <dcterms:modified xsi:type="dcterms:W3CDTF">2017-12-16T23:56:00Z</dcterms:modified>
</cp:coreProperties>
</file>